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E7161A" w:rsidP="00BF287D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LEI Nº 3.059, DE 10 DE JUNHO DE </w:t>
      </w:r>
      <w:proofErr w:type="gramStart"/>
      <w:r>
        <w:rPr>
          <w:rFonts w:asciiTheme="minorHAnsi" w:hAnsiTheme="minorHAnsi" w:cstheme="minorHAnsi"/>
          <w:b/>
          <w:u w:val="single"/>
        </w:rPr>
        <w:t>2026</w:t>
      </w:r>
      <w:proofErr w:type="gramEnd"/>
    </w:p>
    <w:p w:rsidR="00BF287D" w:rsidRPr="00BF287D" w:rsidRDefault="00F76F01" w:rsidP="00BF287D">
      <w:pPr>
        <w:pStyle w:val="NormalWeb"/>
        <w:spacing w:before="0" w:beforeAutospacing="0" w:after="180" w:afterAutospacing="0"/>
        <w:ind w:left="29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ALTERA A LEI Nº 2.454/2015,</w:t>
      </w:r>
      <w:r w:rsidRPr="00BF28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 </w:t>
      </w:r>
      <w:r w:rsidRPr="00BF287D">
        <w:rPr>
          <w:rFonts w:asciiTheme="minorHAnsi" w:hAnsiTheme="minorHAnsi" w:cstheme="minorHAnsi"/>
        </w:rPr>
        <w:t>ADEQUA</w:t>
      </w:r>
      <w:r>
        <w:rPr>
          <w:rFonts w:asciiTheme="minorHAnsi" w:hAnsiTheme="minorHAnsi" w:cstheme="minorHAnsi"/>
        </w:rPr>
        <w:t>R</w:t>
      </w:r>
      <w:r w:rsidRPr="00BF287D">
        <w:rPr>
          <w:rFonts w:asciiTheme="minorHAnsi" w:hAnsiTheme="minorHAnsi" w:cstheme="minorHAnsi"/>
        </w:rPr>
        <w:t xml:space="preserve"> A ESTRUTURA DOS CARGOS COMISSIONADOS DA CÂMARA MUNICIPAL,</w:t>
      </w:r>
      <w:r>
        <w:rPr>
          <w:rFonts w:asciiTheme="minorHAnsi" w:hAnsiTheme="minorHAnsi" w:cstheme="minorHAnsi"/>
        </w:rPr>
        <w:t xml:space="preserve"> </w:t>
      </w:r>
      <w:r w:rsidRPr="00BF287D">
        <w:rPr>
          <w:rFonts w:asciiTheme="minorHAnsi" w:hAnsiTheme="minorHAnsi" w:cstheme="minorHAnsi"/>
        </w:rPr>
        <w:t>EM RAZÃO DE REORGANIZAÇÃO ADMINISTRATIVA, E DÁ OUTRAS PROVIDÊNCIAS.</w:t>
      </w:r>
    </w:p>
    <w:p w:rsidR="00E7161A" w:rsidRDefault="00E7161A" w:rsidP="00E7161A">
      <w:pPr>
        <w:pStyle w:val="NormalWeb"/>
        <w:spacing w:before="0" w:beforeAutospacing="0" w:after="200" w:afterAutospacing="0"/>
        <w:ind w:left="2977"/>
        <w:jc w:val="both"/>
        <w:rPr>
          <w:rFonts w:ascii="Calibri" w:hAnsi="Calibri" w:cs="Calibri"/>
          <w:color w:val="000000"/>
        </w:rPr>
      </w:pPr>
    </w:p>
    <w:p w:rsidR="00E7161A" w:rsidRDefault="00E7161A" w:rsidP="00E7161A">
      <w:pPr>
        <w:pStyle w:val="NormalWeb"/>
        <w:spacing w:before="0" w:beforeAutospacing="0" w:after="200" w:afterAutospacing="0"/>
        <w:ind w:left="2977"/>
        <w:jc w:val="both"/>
      </w:pPr>
      <w:r>
        <w:rPr>
          <w:rFonts w:ascii="Calibri" w:hAnsi="Calibri" w:cs="Calibri"/>
          <w:color w:val="000000"/>
        </w:rPr>
        <w:t>O PRESIDENTE DA CÂMARA MUNICIPAL DE LOUVEIRA, conforme Plenário</w:t>
      </w:r>
      <w:r>
        <w:rPr>
          <w:rFonts w:ascii="Calibri" w:hAnsi="Calibri" w:cs="Calibri"/>
          <w:color w:val="000000"/>
        </w:rPr>
        <w:t xml:space="preserve"> aprovou em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</w:rPr>
        <w:t>maio</w:t>
      </w:r>
      <w:r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6 e o Prefeito sancionou tacitamente</w:t>
      </w:r>
      <w:r>
        <w:rPr>
          <w:rFonts w:ascii="Calibri" w:hAnsi="Calibri" w:cs="Calibri"/>
          <w:color w:val="000000"/>
        </w:rPr>
        <w:t>, promulga a seguinte Lei:</w:t>
      </w:r>
      <w:proofErr w:type="gramStart"/>
      <w:r>
        <w:rPr>
          <w:rFonts w:ascii="Calibri" w:hAnsi="Calibri" w:cs="Calibri"/>
          <w:color w:val="000000"/>
        </w:rPr>
        <w:t xml:space="preserve">  </w:t>
      </w:r>
      <w:proofErr w:type="gramEnd"/>
      <w:r>
        <w:rPr>
          <w:rFonts w:ascii="Calibri" w:hAnsi="Calibri" w:cs="Calibri"/>
          <w:color w:val="000000"/>
        </w:rPr>
        <w:t> </w:t>
      </w:r>
    </w:p>
    <w:p w:rsidR="00BF287D" w:rsidRDefault="00BF287D" w:rsidP="00BF2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BF287D" w:rsidRPr="00BF287D" w:rsidRDefault="00F76F01" w:rsidP="00BF287D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Art. 1º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>Os Anexos da</w:t>
      </w:r>
      <w:r w:rsidRPr="00BF287D">
        <w:rPr>
          <w:rFonts w:asciiTheme="minorHAnsi" w:hAnsiTheme="minorHAnsi" w:cstheme="minorHAnsi"/>
        </w:rPr>
        <w:t xml:space="preserve"> Lei nº 2.454/2015</w:t>
      </w:r>
      <w:r w:rsidRPr="00BF287D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que d</w:t>
      </w:r>
      <w:r w:rsidRPr="00BF287D">
        <w:rPr>
          <w:rFonts w:asciiTheme="minorHAnsi" w:hAnsiTheme="minorHAnsi" w:cstheme="minorHAnsi"/>
          <w:i/>
          <w:shd w:val="clear" w:color="auto" w:fill="FFFFFF"/>
        </w:rPr>
        <w:t>ispõe sobre os vencimentos dos cargos de provimento efetivo e de provimento em comissão da Câmara Municipal de Louveira</w:t>
      </w:r>
      <w:r w:rsidRPr="00BF287D">
        <w:rPr>
          <w:rFonts w:asciiTheme="minorHAnsi" w:hAnsiTheme="minorHAnsi" w:cstheme="minorHAnsi"/>
          <w:shd w:val="clear" w:color="auto" w:fill="FFFFFF"/>
        </w:rPr>
        <w:t>, </w:t>
      </w:r>
      <w:r w:rsidR="00BE31CD">
        <w:rPr>
          <w:rFonts w:asciiTheme="minorHAnsi" w:hAnsiTheme="minorHAnsi" w:cstheme="minorHAnsi"/>
          <w:shd w:val="clear" w:color="auto" w:fill="FFFFFF"/>
        </w:rPr>
        <w:t>passa</w:t>
      </w:r>
      <w:r w:rsidR="00A965E3">
        <w:rPr>
          <w:rFonts w:asciiTheme="minorHAnsi" w:hAnsiTheme="minorHAnsi" w:cstheme="minorHAnsi"/>
          <w:shd w:val="clear" w:color="auto" w:fill="FFFFFF"/>
        </w:rPr>
        <w:t>m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a vigorar com a</w:t>
      </w:r>
      <w:r w:rsidR="00A965E3">
        <w:rPr>
          <w:rFonts w:asciiTheme="minorHAnsi" w:hAnsiTheme="minorHAnsi" w:cstheme="minorHAnsi"/>
          <w:shd w:val="clear" w:color="auto" w:fill="FFFFFF"/>
        </w:rPr>
        <w:t xml:space="preserve"> redação constante</w:t>
      </w:r>
      <w:proofErr w:type="gramStart"/>
      <w:r w:rsidR="00A965E3">
        <w:rPr>
          <w:rFonts w:asciiTheme="minorHAnsi" w:hAnsiTheme="minorHAnsi" w:cstheme="minorHAnsi"/>
          <w:shd w:val="clear" w:color="auto" w:fill="FFFFFF"/>
        </w:rPr>
        <w:t xml:space="preserve">  </w:t>
      </w:r>
      <w:proofErr w:type="gramEnd"/>
      <w:r w:rsidR="00A965E3">
        <w:rPr>
          <w:rFonts w:asciiTheme="minorHAnsi" w:hAnsiTheme="minorHAnsi" w:cstheme="minorHAnsi"/>
          <w:shd w:val="clear" w:color="auto" w:fill="FFFFFF"/>
        </w:rPr>
        <w:t xml:space="preserve">dos Anexos desta Lei, em 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decorr</w:t>
      </w:r>
      <w:r w:rsidR="00A965E3">
        <w:rPr>
          <w:rFonts w:asciiTheme="minorHAnsi" w:hAnsiTheme="minorHAnsi" w:cstheme="minorHAnsi"/>
          <w:shd w:val="clear" w:color="auto" w:fill="FFFFFF"/>
        </w:rPr>
        <w:t>ência</w:t>
      </w:r>
      <w:r w:rsidR="00BE31CD">
        <w:rPr>
          <w:rFonts w:asciiTheme="minorHAnsi" w:hAnsiTheme="minorHAnsi" w:cstheme="minorHAnsi"/>
          <w:shd w:val="clear" w:color="auto" w:fill="FFFFFF"/>
        </w:rPr>
        <w:t xml:space="preserve"> </w:t>
      </w:r>
      <w:r w:rsidRPr="00BF287D">
        <w:rPr>
          <w:rFonts w:asciiTheme="minorHAnsi" w:hAnsiTheme="minorHAnsi" w:cstheme="minorHAnsi"/>
          <w:iCs/>
        </w:rPr>
        <w:t xml:space="preserve">da reorganização administrativa promovida pela </w:t>
      </w:r>
      <w:r w:rsidRPr="00BF287D">
        <w:rPr>
          <w:rFonts w:asciiTheme="minorHAnsi" w:hAnsiTheme="minorHAnsi" w:cstheme="minorHAnsi"/>
          <w:iCs/>
        </w:rPr>
        <w:t>Resolução nº</w:t>
      </w:r>
      <w:r w:rsidR="00C83328">
        <w:rPr>
          <w:rFonts w:asciiTheme="minorHAnsi" w:hAnsiTheme="minorHAnsi" w:cstheme="minorHAnsi"/>
          <w:iCs/>
        </w:rPr>
        <w:t xml:space="preserve"> 2/2026</w:t>
      </w:r>
      <w:r w:rsidR="00BE31CD">
        <w:rPr>
          <w:rFonts w:asciiTheme="minorHAnsi" w:hAnsiTheme="minorHAnsi" w:cstheme="minorHAnsi"/>
          <w:iCs/>
        </w:rPr>
        <w:t>.</w:t>
      </w:r>
    </w:p>
    <w:p w:rsidR="00BE31CD" w:rsidRDefault="00F76F01" w:rsidP="00C83328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Art. 2º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>A alteração promovida por esta Lei compreende a atualização</w:t>
      </w:r>
      <w:proofErr w:type="gramStart"/>
      <w:r w:rsidR="00A965E3">
        <w:rPr>
          <w:rFonts w:asciiTheme="minorHAnsi" w:hAnsiTheme="minorHAnsi" w:cstheme="minorHAnsi"/>
        </w:rPr>
        <w:t xml:space="preserve">  </w:t>
      </w:r>
      <w:proofErr w:type="gramEnd"/>
      <w:r w:rsidR="00A965E3">
        <w:rPr>
          <w:rFonts w:asciiTheme="minorHAnsi" w:hAnsiTheme="minorHAnsi" w:cstheme="minorHAnsi"/>
        </w:rPr>
        <w:t>da denominação,</w:t>
      </w:r>
      <w:r>
        <w:rPr>
          <w:rFonts w:asciiTheme="minorHAnsi" w:hAnsiTheme="minorHAnsi" w:cstheme="minorHAnsi"/>
        </w:rPr>
        <w:t xml:space="preserve"> quantitativo, </w:t>
      </w:r>
      <w:r w:rsidR="00A965E3">
        <w:rPr>
          <w:rFonts w:asciiTheme="minorHAnsi" w:hAnsiTheme="minorHAnsi" w:cstheme="minorHAnsi"/>
        </w:rPr>
        <w:t>referência remuneratória e atribuições dos cargos comissionados, mantida a equivalência remuneratória e o quantitativo global anteriormente existentes</w:t>
      </w:r>
      <w:r>
        <w:rPr>
          <w:rFonts w:asciiTheme="minorHAnsi" w:hAnsiTheme="minorHAnsi" w:cstheme="minorHAnsi"/>
        </w:rPr>
        <w:t>.</w:t>
      </w:r>
    </w:p>
    <w:p w:rsidR="00BF287D" w:rsidRPr="00BF287D" w:rsidRDefault="00F76F01" w:rsidP="00A965E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 xml:space="preserve"> Art. 3º</w:t>
      </w:r>
      <w:r w:rsidRPr="00BF287D">
        <w:rPr>
          <w:rFonts w:asciiTheme="minorHAnsi" w:hAnsiTheme="minorHAnsi" w:cstheme="minorHAnsi"/>
        </w:rPr>
        <w:t xml:space="preserve"> </w:t>
      </w:r>
      <w:r w:rsidR="00A965E3">
        <w:rPr>
          <w:rFonts w:asciiTheme="minorHAnsi" w:hAnsiTheme="minorHAnsi" w:cstheme="minorHAnsi"/>
        </w:rPr>
        <w:t xml:space="preserve">Esta Lei </w:t>
      </w:r>
      <w:r w:rsidRPr="00BF287D">
        <w:rPr>
          <w:rFonts w:asciiTheme="minorHAnsi" w:hAnsiTheme="minorHAnsi" w:cstheme="minorHAnsi"/>
        </w:rPr>
        <w:t xml:space="preserve">entra em vigor na data de sua publicação, </w:t>
      </w:r>
      <w:r w:rsidRPr="00A965E3">
        <w:rPr>
          <w:rFonts w:asciiTheme="minorHAnsi" w:hAnsiTheme="minorHAnsi" w:cstheme="minorHAnsi"/>
          <w:bCs/>
        </w:rPr>
        <w:t xml:space="preserve">produzindo efeitos a partir da data da Resolução nº </w:t>
      </w:r>
      <w:r w:rsidR="00A965E3">
        <w:rPr>
          <w:rFonts w:asciiTheme="minorHAnsi" w:hAnsiTheme="minorHAnsi" w:cstheme="minorHAnsi"/>
          <w:bCs/>
        </w:rPr>
        <w:t>2/2026</w:t>
      </w:r>
      <w:r w:rsidRPr="00BF287D">
        <w:rPr>
          <w:rFonts w:asciiTheme="minorHAnsi" w:hAnsiTheme="minorHAnsi" w:cstheme="minorHAnsi"/>
        </w:rPr>
        <w:t>, exclusivamente para fins de:</w:t>
      </w:r>
    </w:p>
    <w:p w:rsidR="00A965E3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 – adequação da nomenclatura dos cargos</w:t>
      </w:r>
      <w:r>
        <w:rPr>
          <w:rFonts w:asciiTheme="minorHAnsi" w:hAnsiTheme="minorHAnsi" w:cstheme="minorHAnsi"/>
        </w:rPr>
        <w:t>;</w:t>
      </w:r>
    </w:p>
    <w:p w:rsidR="00A965E3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 – correspondência das atribuições exercidas;</w:t>
      </w:r>
    </w:p>
    <w:p w:rsidR="00BF287D" w:rsidRDefault="00F76F01" w:rsidP="00E7161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III – continuidade administrativa das atividades desempenhadas</w:t>
      </w:r>
      <w:r w:rsidR="00A965E3">
        <w:rPr>
          <w:rFonts w:asciiTheme="minorHAnsi" w:hAnsiTheme="minorHAnsi" w:cstheme="minorHAnsi"/>
        </w:rPr>
        <w:t>.</w:t>
      </w:r>
    </w:p>
    <w:p w:rsidR="00BF287D" w:rsidRPr="00BF287D" w:rsidRDefault="00F76F01" w:rsidP="00E7161A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§ 1º</w:t>
      </w:r>
      <w:r w:rsidRPr="00BF287D">
        <w:rPr>
          <w:rFonts w:asciiTheme="minorHAnsi" w:hAnsiTheme="minorHAnsi" w:cstheme="minorHAnsi"/>
        </w:rPr>
        <w:t xml:space="preserve"> A retroatividade prevista no caput não implica:</w:t>
      </w:r>
    </w:p>
    <w:p w:rsidR="00A965E3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 – criação de direitos funcionais pretéritos;</w:t>
      </w:r>
    </w:p>
    <w:p w:rsidR="00A965E3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II – reconhecimento de provimento automático;</w:t>
      </w:r>
    </w:p>
    <w:p w:rsidR="00A965E3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 xml:space="preserve">III – alteração de regime jurídico dos </w:t>
      </w:r>
      <w:r w:rsidRPr="00BF287D">
        <w:rPr>
          <w:rFonts w:asciiTheme="minorHAnsi" w:hAnsiTheme="minorHAnsi" w:cstheme="minorHAnsi"/>
        </w:rPr>
        <w:t>ocupantes;</w:t>
      </w:r>
    </w:p>
    <w:p w:rsidR="00BF287D" w:rsidRPr="00BF287D" w:rsidRDefault="00F76F01" w:rsidP="00E7161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</w:rPr>
        <w:t>IV – qualquer forma de reenquadramento funcional</w:t>
      </w:r>
      <w:r w:rsidR="00A965E3">
        <w:rPr>
          <w:rFonts w:asciiTheme="minorHAnsi" w:hAnsiTheme="minorHAnsi" w:cstheme="minorHAnsi"/>
        </w:rPr>
        <w:t>.</w:t>
      </w:r>
    </w:p>
    <w:p w:rsidR="00A965E3" w:rsidRDefault="00F76F01" w:rsidP="00E7161A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BF287D">
        <w:rPr>
          <w:rFonts w:asciiTheme="minorHAnsi" w:hAnsiTheme="minorHAnsi" w:cstheme="minorHAnsi"/>
          <w:b/>
          <w:bCs/>
        </w:rPr>
        <w:t>§ 2º</w:t>
      </w:r>
      <w:r w:rsidRPr="00BF287D">
        <w:rPr>
          <w:rFonts w:asciiTheme="minorHAnsi" w:hAnsiTheme="minorHAnsi" w:cstheme="minorHAnsi"/>
        </w:rPr>
        <w:t xml:space="preserve"> Fica expressamente consignado que a presente Lei</w:t>
      </w:r>
      <w:r>
        <w:rPr>
          <w:rFonts w:asciiTheme="minorHAnsi" w:hAnsiTheme="minorHAnsi" w:cstheme="minorHAnsi"/>
        </w:rPr>
        <w:t>:</w:t>
      </w:r>
    </w:p>
    <w:p w:rsidR="00A965E3" w:rsidRDefault="00F76F01" w:rsidP="00E7161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-</w:t>
      </w:r>
      <w:r w:rsidR="00BF287D" w:rsidRPr="00BF287D">
        <w:rPr>
          <w:rFonts w:asciiTheme="minorHAnsi" w:hAnsiTheme="minorHAnsi" w:cstheme="minorHAnsi"/>
        </w:rPr>
        <w:t>não acarreta aumento de despesa pública</w:t>
      </w:r>
      <w:r>
        <w:rPr>
          <w:rFonts w:asciiTheme="minorHAnsi" w:hAnsiTheme="minorHAnsi" w:cstheme="minorHAnsi"/>
        </w:rPr>
        <w:t>;</w:t>
      </w:r>
    </w:p>
    <w:p w:rsidR="00BF287D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-</w:t>
      </w:r>
      <w:r w:rsidRPr="00BF287D">
        <w:rPr>
          <w:rFonts w:asciiTheme="minorHAnsi" w:hAnsiTheme="minorHAnsi" w:cstheme="minorHAnsi"/>
        </w:rPr>
        <w:t xml:space="preserve"> mant</w:t>
      </w:r>
      <w:r w:rsidR="00EB4567">
        <w:rPr>
          <w:rFonts w:asciiTheme="minorHAnsi" w:hAnsiTheme="minorHAnsi" w:cstheme="minorHAnsi"/>
        </w:rPr>
        <w:t>ém</w:t>
      </w:r>
      <w:r w:rsidRPr="00BF287D">
        <w:rPr>
          <w:rFonts w:asciiTheme="minorHAnsi" w:hAnsiTheme="minorHAnsi" w:cstheme="minorHAnsi"/>
        </w:rPr>
        <w:t xml:space="preserve"> o quantitativo </w:t>
      </w:r>
      <w:r w:rsidR="00EB4567">
        <w:rPr>
          <w:rFonts w:asciiTheme="minorHAnsi" w:hAnsiTheme="minorHAnsi" w:cstheme="minorHAnsi"/>
        </w:rPr>
        <w:t>global de car</w:t>
      </w:r>
      <w:r w:rsidRPr="00BF287D">
        <w:rPr>
          <w:rFonts w:asciiTheme="minorHAnsi" w:hAnsiTheme="minorHAnsi" w:cstheme="minorHAnsi"/>
        </w:rPr>
        <w:t xml:space="preserve">gos </w:t>
      </w:r>
      <w:r w:rsidR="00EB4567">
        <w:rPr>
          <w:rFonts w:asciiTheme="minorHAnsi" w:hAnsiTheme="minorHAnsi" w:cstheme="minorHAnsi"/>
        </w:rPr>
        <w:t>comissionados;</w:t>
      </w:r>
    </w:p>
    <w:p w:rsidR="00EB4567" w:rsidRDefault="00F76F01" w:rsidP="00EE54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 preserva os valores de vencime</w:t>
      </w:r>
      <w:r>
        <w:rPr>
          <w:rFonts w:asciiTheme="minorHAnsi" w:hAnsiTheme="minorHAnsi" w:cstheme="minorHAnsi"/>
        </w:rPr>
        <w:t>ntos anteriormente fixados.</w:t>
      </w:r>
    </w:p>
    <w:p w:rsidR="00E7161A" w:rsidRPr="009878B0" w:rsidRDefault="00E7161A" w:rsidP="00E7161A">
      <w:pPr>
        <w:ind w:left="4395" w:firstLine="3"/>
        <w:jc w:val="right"/>
        <w:rPr>
          <w:rFonts w:cstheme="minorHAnsi"/>
          <w:sz w:val="24"/>
          <w:szCs w:val="24"/>
        </w:rPr>
      </w:pPr>
      <w:r w:rsidRPr="009878B0">
        <w:rPr>
          <w:rFonts w:cstheme="minorHAnsi"/>
          <w:sz w:val="24"/>
          <w:szCs w:val="24"/>
        </w:rPr>
        <w:t>Louveira, 1</w:t>
      </w:r>
      <w:r>
        <w:rPr>
          <w:rFonts w:cstheme="minorHAnsi"/>
          <w:sz w:val="24"/>
          <w:szCs w:val="24"/>
        </w:rPr>
        <w:t>0</w:t>
      </w:r>
      <w:r w:rsidRPr="009878B0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junho</w:t>
      </w:r>
      <w:r w:rsidRPr="009878B0">
        <w:rPr>
          <w:rFonts w:cstheme="minorHAnsi"/>
          <w:sz w:val="24"/>
          <w:szCs w:val="24"/>
        </w:rPr>
        <w:t xml:space="preserve"> de 20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6</w:t>
      </w:r>
      <w:r w:rsidRPr="009878B0">
        <w:rPr>
          <w:rFonts w:cstheme="minorHAnsi"/>
          <w:sz w:val="24"/>
          <w:szCs w:val="24"/>
        </w:rPr>
        <w:t>.</w:t>
      </w:r>
    </w:p>
    <w:p w:rsidR="00E7161A" w:rsidRPr="009878B0" w:rsidRDefault="00E7161A" w:rsidP="00E7161A">
      <w:pPr>
        <w:spacing w:after="0" w:line="240" w:lineRule="auto"/>
        <w:ind w:firstLine="36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ANTÔNIO CARLOS RODRIGUES DE SOUZA</w:t>
      </w:r>
    </w:p>
    <w:p w:rsidR="00E7161A" w:rsidRDefault="00E7161A" w:rsidP="00E7161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78B0">
        <w:rPr>
          <w:rFonts w:cstheme="minorHAnsi"/>
          <w:sz w:val="24"/>
          <w:szCs w:val="24"/>
        </w:rPr>
        <w:t>Presidente</w:t>
      </w:r>
    </w:p>
    <w:p w:rsidR="008F5A8B" w:rsidRPr="009878B0" w:rsidRDefault="008F5A8B" w:rsidP="00E7161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7161A" w:rsidRPr="009878B0" w:rsidRDefault="00E7161A" w:rsidP="00E7161A">
      <w:pPr>
        <w:jc w:val="center"/>
        <w:rPr>
          <w:rFonts w:cstheme="minorHAnsi"/>
          <w:sz w:val="24"/>
          <w:szCs w:val="24"/>
        </w:rPr>
      </w:pPr>
      <w:r w:rsidRPr="009878B0">
        <w:rPr>
          <w:rFonts w:cstheme="minorHAnsi"/>
          <w:sz w:val="24"/>
          <w:szCs w:val="24"/>
        </w:rPr>
        <w:t>Publicado e Registrado na Secretaria da Câmara, em data supra</w:t>
      </w:r>
      <w:r>
        <w:rPr>
          <w:rFonts w:cstheme="minorHAnsi"/>
          <w:sz w:val="24"/>
          <w:szCs w:val="24"/>
        </w:rPr>
        <w:t>.</w:t>
      </w:r>
    </w:p>
    <w:p w:rsidR="00E7161A" w:rsidRDefault="00E7161A" w:rsidP="00E7161A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proofErr w:type="gramStart"/>
      <w:r>
        <w:rPr>
          <w:rFonts w:cstheme="minorHAnsi"/>
          <w:b/>
          <w:i/>
          <w:sz w:val="24"/>
          <w:szCs w:val="24"/>
        </w:rPr>
        <w:t>MÁRCIA ALVES BALEEIROS</w:t>
      </w:r>
      <w:proofErr w:type="gramEnd"/>
      <w:r>
        <w:rPr>
          <w:rFonts w:cstheme="minorHAnsi"/>
          <w:b/>
          <w:i/>
          <w:sz w:val="24"/>
          <w:szCs w:val="24"/>
        </w:rPr>
        <w:t xml:space="preserve"> PESSOA</w:t>
      </w:r>
    </w:p>
    <w:p w:rsidR="00E7161A" w:rsidRPr="00E7161A" w:rsidRDefault="00E7161A" w:rsidP="00E7161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Secretária Geral</w:t>
      </w:r>
    </w:p>
    <w:p w:rsidR="00585E08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  <w:sectPr w:rsidR="00585E08" w:rsidSect="00EB4567">
          <w:headerReference w:type="default" r:id="rId7"/>
          <w:pgSz w:w="11906" w:h="16838"/>
          <w:pgMar w:top="1417" w:right="1701" w:bottom="284" w:left="1701" w:header="708" w:footer="708" w:gutter="0"/>
          <w:cols w:space="708"/>
          <w:docGrid w:linePitch="360"/>
        </w:sectPr>
      </w:pPr>
    </w:p>
    <w:p w:rsidR="00585E08" w:rsidRPr="00405FEB" w:rsidRDefault="00585E08" w:rsidP="00EE546F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  <w:b/>
        </w:rPr>
      </w:pPr>
    </w:p>
    <w:p w:rsidR="00585E08" w:rsidRPr="00585E08" w:rsidRDefault="00F76F01" w:rsidP="00585E0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85E08">
        <w:rPr>
          <w:rFonts w:ascii="Helvetica" w:eastAsia="Times New Roman" w:hAnsi="Helvetica" w:cs="Times New Roman"/>
          <w:b/>
          <w:color w:val="333333"/>
          <w:sz w:val="21"/>
          <w:szCs w:val="21"/>
          <w:lang w:eastAsia="pt-BR"/>
        </w:rPr>
        <w:t>ANEXO V</w:t>
      </w:r>
      <w:r w:rsidRPr="00585E08">
        <w:rPr>
          <w:rFonts w:ascii="Helvetica" w:eastAsia="Times New Roman" w:hAnsi="Helvetica" w:cs="Times New Roman"/>
          <w:b/>
          <w:color w:val="333333"/>
          <w:sz w:val="21"/>
          <w:szCs w:val="21"/>
          <w:lang w:eastAsia="pt-BR"/>
        </w:rPr>
        <w:br/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DENOMINAÇÃO DOS </w:t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CARGOS DE PROVIMENTO EM COMISSÃO E SÍMBOLOS</w:t>
      </w:r>
      <w:r w:rsidRPr="00585E08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br/>
      </w:r>
    </w:p>
    <w:tbl>
      <w:tblPr>
        <w:tblW w:w="1488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6"/>
        <w:gridCol w:w="4758"/>
      </w:tblGrid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pt-BR"/>
              </w:rPr>
              <w:t>Denominação do Cargo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pt-BR"/>
              </w:rPr>
              <w:t>Referência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Secretário</w:t>
            </w: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 Geral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CC-1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001C72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Secretário de </w:t>
            </w: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Administra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ção e Gestão de Pessoas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de Gestão Integrada e Serviços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001C72">
            <w:pPr>
              <w:spacing w:after="284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>Secretário de Finanças, Planejamento e Orçamento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Legislativo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Secretário de Comunicação Social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Chefe de Gabinete da Presidência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Assessor Técnico do Gabinete da Presidência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CC-2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Assessor de Relações Institucionais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CC-3</w:t>
            </w:r>
          </w:p>
        </w:tc>
      </w:tr>
      <w:tr w:rsidR="00F041CB" w:rsidTr="00F0459D">
        <w:trPr>
          <w:trHeight w:val="285"/>
        </w:trPr>
        <w:tc>
          <w:tcPr>
            <w:tcW w:w="10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Assessor Legislativo Parlamentar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E08" w:rsidRPr="00585E08" w:rsidRDefault="00F76F01" w:rsidP="00585E08">
            <w:pPr>
              <w:spacing w:after="284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</w:pPr>
            <w:r w:rsidRPr="00585E0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CC-4</w:t>
            </w:r>
          </w:p>
        </w:tc>
      </w:tr>
    </w:tbl>
    <w:p w:rsidR="00DF6676" w:rsidRDefault="00DF6676"/>
    <w:p w:rsidR="00405FEB" w:rsidRDefault="00405FEB"/>
    <w:p w:rsidR="00405FEB" w:rsidRDefault="00F76F01" w:rsidP="00405FEB">
      <w:pPr>
        <w:jc w:val="center"/>
      </w:pPr>
      <w:r w:rsidRPr="00405FEB">
        <w:rPr>
          <w:rFonts w:ascii="Helvetica" w:hAnsi="Helvetica"/>
          <w:b/>
          <w:color w:val="333333"/>
          <w:sz w:val="21"/>
          <w:szCs w:val="21"/>
          <w:shd w:val="clear" w:color="auto" w:fill="FFFFFF"/>
        </w:rPr>
        <w:t>ANEXO VI</w:t>
      </w:r>
      <w:r w:rsidRPr="00405FEB">
        <w:rPr>
          <w:rFonts w:ascii="Helvetica" w:hAnsi="Helvetica"/>
          <w:b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TABELA DE VENCIMENTOS DO QUADRO DE PROVIMENTO EM COMISSÃO</w:t>
      </w:r>
    </w:p>
    <w:tbl>
      <w:tblPr>
        <w:tblW w:w="124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903"/>
        <w:gridCol w:w="3219"/>
        <w:gridCol w:w="2804"/>
        <w:gridCol w:w="905"/>
        <w:gridCol w:w="1858"/>
      </w:tblGrid>
      <w:tr w:rsidR="00F041CB" w:rsidTr="008F5A8B">
        <w:trPr>
          <w:trHeight w:val="303"/>
        </w:trPr>
        <w:tc>
          <w:tcPr>
            <w:tcW w:w="12416" w:type="dxa"/>
            <w:gridSpan w:val="6"/>
            <w:noWrap/>
            <w:vAlign w:val="bottom"/>
            <w:hideMark/>
          </w:tcPr>
          <w:p w:rsidR="00453C4A" w:rsidRDefault="00F76F01" w:rsidP="00453C4A">
            <w:pPr>
              <w:ind w:right="-539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 xml:space="preserve">  </w:t>
            </w:r>
            <w:r w:rsidR="00405FEB" w:rsidRPr="00405FE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pt-BR"/>
              </w:rPr>
              <w:t>QPCC - JORNADA DE 30 HORAS SEMANAIS</w:t>
            </w:r>
          </w:p>
        </w:tc>
      </w:tr>
      <w:tr w:rsidR="00F041CB" w:rsidTr="008F5A8B">
        <w:trPr>
          <w:trHeight w:val="303"/>
        </w:trPr>
        <w:tc>
          <w:tcPr>
            <w:tcW w:w="12416" w:type="dxa"/>
            <w:gridSpan w:val="6"/>
            <w:noWrap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524"/>
        </w:trPr>
        <w:tc>
          <w:tcPr>
            <w:tcW w:w="27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122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804" w:type="dxa"/>
            <w:noWrap/>
            <w:vAlign w:val="center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763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69"/>
        </w:trPr>
        <w:tc>
          <w:tcPr>
            <w:tcW w:w="12416" w:type="dxa"/>
            <w:gridSpan w:val="6"/>
            <w:noWrap/>
            <w:vAlign w:val="bottom"/>
          </w:tcPr>
          <w:p w:rsidR="00453C4A" w:rsidRDefault="00453C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041CB" w:rsidTr="008F5A8B">
        <w:trPr>
          <w:trHeight w:val="190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190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02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493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F76F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3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493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- 1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14.633,00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493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- 2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12.679,00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493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- 3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11.763,00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493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- 4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9.934,00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190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53C4A" w:rsidRDefault="00F76F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190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190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02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35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24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224"/>
        </w:trPr>
        <w:tc>
          <w:tcPr>
            <w:tcW w:w="363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219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08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8F5A8B">
        <w:trPr>
          <w:trHeight w:val="661"/>
        </w:trPr>
        <w:tc>
          <w:tcPr>
            <w:tcW w:w="3630" w:type="dxa"/>
            <w:gridSpan w:val="2"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6928" w:type="dxa"/>
            <w:gridSpan w:val="3"/>
          </w:tcPr>
          <w:p w:rsidR="00453C4A" w:rsidRDefault="00453C4A">
            <w:pPr>
              <w:rPr>
                <w:rFonts w:ascii="Calibri" w:hAnsi="Calibri" w:cs="Calibri"/>
              </w:rPr>
            </w:pPr>
          </w:p>
        </w:tc>
        <w:tc>
          <w:tcPr>
            <w:tcW w:w="1858" w:type="dxa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</w:tbl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16"/>
        <w:gridCol w:w="1564"/>
        <w:gridCol w:w="2640"/>
        <w:gridCol w:w="1607"/>
        <w:gridCol w:w="2127"/>
      </w:tblGrid>
      <w:tr w:rsidR="00F041CB" w:rsidTr="00453C4A">
        <w:trPr>
          <w:trHeight w:val="405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TABELA DE VENCIMENTOS - QUADRO DE PROVIMENTO EM COMISSÃO</w:t>
            </w:r>
          </w:p>
        </w:tc>
      </w:tr>
      <w:tr w:rsidR="00F041CB" w:rsidTr="00453C4A">
        <w:trPr>
          <w:trHeight w:val="405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702"/>
        </w:trPr>
        <w:tc>
          <w:tcPr>
            <w:tcW w:w="960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3734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360"/>
        </w:trPr>
        <w:tc>
          <w:tcPr>
            <w:tcW w:w="11214" w:type="dxa"/>
            <w:gridSpan w:val="6"/>
            <w:noWrap/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QPCC - JORNADA DE 40 HORAS SEMANAIS</w:t>
            </w:r>
          </w:p>
        </w:tc>
      </w:tr>
      <w:tr w:rsidR="00F041CB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27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42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- 1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19.510,00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- 2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16.905,00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66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CC - 3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53C4A" w:rsidRDefault="00F76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15.684,00</w:t>
            </w: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25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27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315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30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300"/>
        </w:trPr>
        <w:tc>
          <w:tcPr>
            <w:tcW w:w="3276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4247" w:type="dxa"/>
            <w:gridSpan w:val="2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  <w:tr w:rsidR="00F041CB" w:rsidTr="00453C4A">
        <w:trPr>
          <w:trHeight w:val="885"/>
        </w:trPr>
        <w:tc>
          <w:tcPr>
            <w:tcW w:w="3276" w:type="dxa"/>
            <w:gridSpan w:val="2"/>
            <w:vAlign w:val="bottom"/>
          </w:tcPr>
          <w:p w:rsidR="00453C4A" w:rsidRDefault="00453C4A">
            <w:pPr>
              <w:rPr>
                <w:rFonts w:cstheme="minorHAnsi"/>
              </w:rPr>
            </w:pPr>
          </w:p>
        </w:tc>
        <w:tc>
          <w:tcPr>
            <w:tcW w:w="5811" w:type="dxa"/>
            <w:gridSpan w:val="3"/>
          </w:tcPr>
          <w:p w:rsidR="00453C4A" w:rsidRDefault="00453C4A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hideMark/>
          </w:tcPr>
          <w:p w:rsidR="00453C4A" w:rsidRDefault="00453C4A">
            <w:pPr>
              <w:rPr>
                <w:rFonts w:cstheme="minorHAnsi"/>
              </w:rPr>
            </w:pPr>
          </w:p>
        </w:tc>
      </w:tr>
    </w:tbl>
    <w:p w:rsidR="00453C4A" w:rsidRDefault="00453C4A" w:rsidP="00453C4A">
      <w:pPr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F0459D" w:rsidRDefault="00F0459D"/>
    <w:sectPr w:rsidR="00F0459D" w:rsidSect="00585E08">
      <w:pgSz w:w="16838" w:h="11906" w:orient="landscape"/>
      <w:pgMar w:top="1701" w:right="28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01" w:rsidRDefault="00F76F01">
      <w:pPr>
        <w:spacing w:after="0" w:line="240" w:lineRule="auto"/>
      </w:pPr>
      <w:r>
        <w:separator/>
      </w:r>
    </w:p>
  </w:endnote>
  <w:endnote w:type="continuationSeparator" w:id="0">
    <w:p w:rsidR="00F76F01" w:rsidRDefault="00F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01" w:rsidRDefault="00F76F01">
      <w:pPr>
        <w:spacing w:after="0" w:line="240" w:lineRule="auto"/>
      </w:pPr>
      <w:r>
        <w:separator/>
      </w:r>
    </w:p>
  </w:footnote>
  <w:footnote w:type="continuationSeparator" w:id="0">
    <w:p w:rsidR="00F76F01" w:rsidRDefault="00F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1A" w:rsidRDefault="00E7161A" w:rsidP="00E7161A">
    <w:pPr>
      <w:pStyle w:val="Cabealho"/>
      <w:jc w:val="center"/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BA2C89" wp14:editId="1D4B62C9">
          <wp:simplePos x="0" y="0"/>
          <wp:positionH relativeFrom="margin">
            <wp:posOffset>-584835</wp:posOffset>
          </wp:positionH>
          <wp:positionV relativeFrom="margin">
            <wp:posOffset>-847725</wp:posOffset>
          </wp:positionV>
          <wp:extent cx="609600" cy="647700"/>
          <wp:effectExtent l="19050" t="0" r="0" b="0"/>
          <wp:wrapNone/>
          <wp:docPr id="4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24"/>
        <w:lang w:eastAsia="pt-BR"/>
      </w:rPr>
      <w:drawing>
        <wp:anchor distT="0" distB="0" distL="114300" distR="114300" simplePos="0" relativeHeight="251659264" behindDoc="1" locked="0" layoutInCell="1" allowOverlap="1" wp14:anchorId="7019696C" wp14:editId="19EE3B1D">
          <wp:simplePos x="0" y="0"/>
          <wp:positionH relativeFrom="margin">
            <wp:posOffset>-217170</wp:posOffset>
          </wp:positionH>
          <wp:positionV relativeFrom="margin">
            <wp:posOffset>-1222375</wp:posOffset>
          </wp:positionV>
          <wp:extent cx="46355" cy="45085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" cy="45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24"/>
      </w:rPr>
      <w:t xml:space="preserve"> </w:t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E7161A" w:rsidRPr="00F0176A" w:rsidRDefault="00E7161A" w:rsidP="00E7161A">
    <w:pPr>
      <w:pStyle w:val="Cabealho"/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3" w:history="1">
      <w:r w:rsidRPr="00F64966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E7161A" w:rsidRDefault="00E7161A" w:rsidP="00E7161A">
    <w:pPr>
      <w:pStyle w:val="Cabealho"/>
    </w:pPr>
  </w:p>
  <w:p w:rsidR="00581379" w:rsidRDefault="00581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66"/>
    <w:rsid w:val="00001C72"/>
    <w:rsid w:val="0028797E"/>
    <w:rsid w:val="00361B66"/>
    <w:rsid w:val="00405FEB"/>
    <w:rsid w:val="00453C4A"/>
    <w:rsid w:val="00581379"/>
    <w:rsid w:val="00585E08"/>
    <w:rsid w:val="008829B7"/>
    <w:rsid w:val="00890C7A"/>
    <w:rsid w:val="00893880"/>
    <w:rsid w:val="008C4382"/>
    <w:rsid w:val="008F5A8B"/>
    <w:rsid w:val="0095233C"/>
    <w:rsid w:val="00A965E3"/>
    <w:rsid w:val="00AE31B6"/>
    <w:rsid w:val="00BE31CD"/>
    <w:rsid w:val="00BF287D"/>
    <w:rsid w:val="00C83328"/>
    <w:rsid w:val="00DF6676"/>
    <w:rsid w:val="00E7161A"/>
    <w:rsid w:val="00EB4567"/>
    <w:rsid w:val="00EE546F"/>
    <w:rsid w:val="00F041CB"/>
    <w:rsid w:val="00F0459D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8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s-desindentado">
    <w:name w:val="normas-desindentado"/>
    <w:basedOn w:val="Normal"/>
    <w:rsid w:val="0040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F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79"/>
  </w:style>
  <w:style w:type="paragraph" w:styleId="Rodap">
    <w:name w:val="footer"/>
    <w:basedOn w:val="Normal"/>
    <w:link w:val="Rodap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79"/>
  </w:style>
  <w:style w:type="character" w:styleId="Hyperlink">
    <w:name w:val="Hyperlink"/>
    <w:basedOn w:val="Fontepargpadro"/>
    <w:rsid w:val="00E71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8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s-desindentado">
    <w:name w:val="normas-desindentado"/>
    <w:basedOn w:val="Normal"/>
    <w:rsid w:val="0040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F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79"/>
  </w:style>
  <w:style w:type="paragraph" w:styleId="Rodap">
    <w:name w:val="footer"/>
    <w:basedOn w:val="Normal"/>
    <w:link w:val="RodapChar"/>
    <w:uiPriority w:val="99"/>
    <w:unhideWhenUsed/>
    <w:rsid w:val="0058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79"/>
  </w:style>
  <w:style w:type="character" w:styleId="Hyperlink">
    <w:name w:val="Hyperlink"/>
    <w:basedOn w:val="Fontepargpadro"/>
    <w:rsid w:val="00E71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veira.sp.le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14</cp:revision>
  <cp:lastPrinted>2026-05-05T16:04:00Z</cp:lastPrinted>
  <dcterms:created xsi:type="dcterms:W3CDTF">2026-05-05T12:54:00Z</dcterms:created>
  <dcterms:modified xsi:type="dcterms:W3CDTF">2026-06-10T15:54:00Z</dcterms:modified>
</cp:coreProperties>
</file>